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DDF407" w14:textId="77777777" w:rsidR="00383167" w:rsidRDefault="00000000">
      <w:pPr>
        <w:spacing w:after="20" w:line="240" w:lineRule="auto"/>
        <w:jc w:val="center"/>
      </w:pPr>
      <w:r>
        <w:rPr>
          <w:rFonts w:eastAsia="Times New Roman"/>
          <w:b/>
          <w:sz w:val="38"/>
        </w:rPr>
        <w:t>Science of Language Learning</w:t>
      </w:r>
    </w:p>
    <w:p w14:paraId="5CE769F0" w14:textId="77777777" w:rsidR="00383167" w:rsidRDefault="00000000">
      <w:pPr>
        <w:spacing w:after="160" w:line="240" w:lineRule="auto"/>
        <w:jc w:val="center"/>
      </w:pPr>
      <w:r>
        <w:rPr>
          <w:rFonts w:eastAsia="Times New Roman"/>
          <w:i/>
        </w:rPr>
        <w:t>What the first four sessions have changed in how we read a lesson</w:t>
      </w:r>
    </w:p>
    <w:p w14:paraId="34D7FB46" w14:textId="77777777" w:rsidR="00383167" w:rsidRDefault="00000000">
      <w:pPr>
        <w:spacing w:after="120" w:line="240" w:lineRule="auto"/>
      </w:pPr>
      <w:r>
        <w:rPr>
          <w:rFonts w:eastAsia="Times New Roman"/>
          <w:b/>
        </w:rPr>
        <w:t xml:space="preserve">A lesson can feel successful and still leave little behind. </w:t>
      </w:r>
      <w:r>
        <w:rPr>
          <w:rFonts w:eastAsia="Times New Roman"/>
        </w:rPr>
        <w:t>Students follow a model, choose the correct answer, and say they understand. None of that is useless. But none of it, by itself, proves that language will still be available next week, under pressure, or in a new situation. The first four sessions gave us a way to read that gap more carefully.</w:t>
      </w:r>
    </w:p>
    <w:p w14:paraId="5CCF7329" w14:textId="77777777" w:rsidR="00383167" w:rsidRDefault="00000000">
      <w:pPr>
        <w:spacing w:before="40" w:after="80" w:line="240" w:lineRule="auto"/>
      </w:pPr>
      <w:r>
        <w:rPr>
          <w:rFonts w:eastAsia="Times New Roman"/>
          <w:b/>
          <w:sz w:val="28"/>
        </w:rPr>
        <w:t>Four ideas worth keeping</w:t>
      </w:r>
    </w:p>
    <w:p w14:paraId="1D81D7B8" w14:textId="77777777" w:rsidR="00383167" w:rsidRDefault="00000000">
      <w:pPr>
        <w:spacing w:after="40" w:line="240" w:lineRule="auto"/>
      </w:pPr>
      <w:r>
        <w:rPr>
          <w:rFonts w:eastAsia="Times New Roman"/>
          <w:b/>
        </w:rPr>
        <w:t xml:space="preserve">1. Performance is not the same as learning. </w:t>
      </w:r>
      <w:r>
        <w:rPr>
          <w:rFonts w:eastAsia="Times New Roman"/>
        </w:rPr>
        <w:t>A student may complete ten correct sentences after seeing a rule and an example. That is evidence that the task was manageable with that support. It does not yet tell us whether the learner can select the form independently later.</w:t>
      </w:r>
    </w:p>
    <w:p w14:paraId="193D6FEF" w14:textId="77777777" w:rsidR="00383167" w:rsidRDefault="00000000">
      <w:pPr>
        <w:spacing w:after="100" w:line="240" w:lineRule="auto"/>
        <w:ind w:left="259"/>
      </w:pPr>
      <w:r>
        <w:rPr>
          <w:rFonts w:eastAsia="Times New Roman"/>
          <w:b/>
        </w:rPr>
        <w:t xml:space="preserve">Classroom question: </w:t>
      </w:r>
      <w:r>
        <w:rPr>
          <w:rFonts w:eastAsia="Times New Roman"/>
        </w:rPr>
        <w:t>If I remove the model, wait a few days, or change the topic, what can this learner still do?</w:t>
      </w:r>
    </w:p>
    <w:p w14:paraId="64FBDF3E" w14:textId="77777777" w:rsidR="00383167" w:rsidRDefault="00000000">
      <w:pPr>
        <w:spacing w:after="40" w:line="240" w:lineRule="auto"/>
      </w:pPr>
      <w:r>
        <w:rPr>
          <w:rFonts w:eastAsia="Times New Roman"/>
          <w:b/>
        </w:rPr>
        <w:t xml:space="preserve">2. Exposure is not the same as attention. </w:t>
      </w:r>
      <w:r>
        <w:rPr>
          <w:rFonts w:eastAsia="Times New Roman"/>
        </w:rPr>
        <w:t>A word can appear on a slide, in a text, and in the teacher’s explanation without becoming an object of real processing. Learners may understand the general message while missing the grammatical choice, collocation, or pronunciation feature that we hoped they would notice.</w:t>
      </w:r>
    </w:p>
    <w:p w14:paraId="2DB028F0" w14:textId="77777777" w:rsidR="00383167" w:rsidRDefault="00000000">
      <w:pPr>
        <w:spacing w:after="100" w:line="240" w:lineRule="auto"/>
        <w:ind w:left="259"/>
      </w:pPr>
      <w:r>
        <w:rPr>
          <w:rFonts w:eastAsia="Times New Roman"/>
          <w:b/>
        </w:rPr>
        <w:t xml:space="preserve">Example: </w:t>
      </w:r>
      <w:r>
        <w:rPr>
          <w:rFonts w:eastAsia="Times New Roman"/>
        </w:rPr>
        <w:t>A class understands a story containing “should have,” but that does not mean learners noticed how the form expresses regret about the past.</w:t>
      </w:r>
    </w:p>
    <w:p w14:paraId="5A1F49BD" w14:textId="77777777" w:rsidR="00383167" w:rsidRDefault="00000000">
      <w:pPr>
        <w:spacing w:after="40" w:line="240" w:lineRule="auto"/>
      </w:pPr>
      <w:r>
        <w:rPr>
          <w:rFonts w:eastAsia="Times New Roman"/>
          <w:b/>
        </w:rPr>
        <w:t xml:space="preserve">3. Working memory is narrow. </w:t>
      </w:r>
      <w:r>
        <w:rPr>
          <w:rFonts w:eastAsia="Times New Roman"/>
        </w:rPr>
        <w:t>When a lesson introduces a dense text, ten new words, a grammar rule, several exceptions, and a communicative task at once, the problem is not necessarily weak motivation. The learner may simply be carrying too much at the same time.</w:t>
      </w:r>
    </w:p>
    <w:p w14:paraId="7D5CCD98" w14:textId="77777777" w:rsidR="00383167" w:rsidRDefault="00000000">
      <w:pPr>
        <w:spacing w:after="100" w:line="240" w:lineRule="auto"/>
        <w:ind w:left="259"/>
      </w:pPr>
      <w:r>
        <w:rPr>
          <w:rFonts w:eastAsia="Times New Roman"/>
          <w:b/>
        </w:rPr>
        <w:t xml:space="preserve">Teaching implication: </w:t>
      </w:r>
      <w:r>
        <w:rPr>
          <w:rFonts w:eastAsia="Times New Roman"/>
        </w:rPr>
        <w:t>We need to decide what deserves attention now, what can wait, and what should return later. Simplifying the load is not “dumbing down”; it is making thought possible.</w:t>
      </w:r>
    </w:p>
    <w:p w14:paraId="6C483CAC" w14:textId="77777777" w:rsidR="00383167" w:rsidRDefault="00000000">
      <w:pPr>
        <w:spacing w:after="40" w:line="240" w:lineRule="auto"/>
      </w:pPr>
      <w:r>
        <w:rPr>
          <w:rFonts w:eastAsia="Times New Roman"/>
          <w:b/>
        </w:rPr>
        <w:t xml:space="preserve">4. Input is not the same as intake. </w:t>
      </w:r>
      <w:r>
        <w:rPr>
          <w:rFonts w:eastAsia="Times New Roman"/>
        </w:rPr>
        <w:t>Learners hear and read far more language than becomes available to them later. Input becomes intake only when some part of it is selected, connected to meaning, and processed enough to enter the learner’s developing system.</w:t>
      </w:r>
    </w:p>
    <w:p w14:paraId="2A4C8773" w14:textId="77777777" w:rsidR="00383167" w:rsidRDefault="00000000">
      <w:pPr>
        <w:spacing w:after="0" w:line="240" w:lineRule="auto"/>
        <w:ind w:left="259"/>
      </w:pPr>
      <w:r>
        <w:rPr>
          <w:rFonts w:eastAsia="Times New Roman"/>
          <w:b/>
        </w:rPr>
        <w:t xml:space="preserve">Example: </w:t>
      </w:r>
      <w:r>
        <w:rPr>
          <w:rFonts w:eastAsia="Times New Roman"/>
        </w:rPr>
        <w:t>A learner can follow the teacher’s explanation of a phrase yet still fail to recognize it in fast speech or choose it in their own sentence. Comprehension today is not the whole story.</w:t>
      </w:r>
    </w:p>
    <w:p w14:paraId="54F50F15" w14:textId="77777777" w:rsidR="00383167" w:rsidRDefault="00000000">
      <w:r>
        <w:br w:type="page"/>
      </w:r>
    </w:p>
    <w:p w14:paraId="58507D55" w14:textId="77777777" w:rsidR="00383167" w:rsidRDefault="00000000">
      <w:pPr>
        <w:spacing w:after="20" w:line="240" w:lineRule="auto"/>
        <w:jc w:val="center"/>
      </w:pPr>
      <w:r>
        <w:rPr>
          <w:rFonts w:eastAsia="Times New Roman"/>
          <w:b/>
          <w:sz w:val="36"/>
        </w:rPr>
        <w:lastRenderedPageBreak/>
        <w:t>The next four Thursdays</w:t>
      </w:r>
    </w:p>
    <w:p w14:paraId="22E50484" w14:textId="77777777" w:rsidR="00383167" w:rsidRDefault="00000000">
      <w:pPr>
        <w:spacing w:after="160" w:line="240" w:lineRule="auto"/>
        <w:jc w:val="center"/>
      </w:pPr>
      <w:r>
        <w:rPr>
          <w:rFonts w:eastAsia="Times New Roman"/>
          <w:i/>
        </w:rPr>
        <w:t>Sessions 5–12: from remembering to usable language</w:t>
      </w:r>
    </w:p>
    <w:p w14:paraId="46EAFF3D" w14:textId="77777777" w:rsidR="00383167" w:rsidRDefault="00000000">
      <w:pPr>
        <w:spacing w:after="120" w:line="240" w:lineRule="auto"/>
      </w:pPr>
      <w:r>
        <w:rPr>
          <w:rFonts w:eastAsia="Times New Roman"/>
          <w:b/>
        </w:rPr>
        <w:t xml:space="preserve">The next eight sessions take the questions above seriously. </w:t>
      </w:r>
      <w:r>
        <w:rPr>
          <w:rFonts w:eastAsia="Times New Roman"/>
        </w:rPr>
        <w:t>They ask not only whether learners meet language, but how it is stored, retrieved, revisited, judged, and eventually used beyond the exact activity in which it was taught.</w:t>
      </w:r>
    </w:p>
    <w:tbl>
      <w:tblPr>
        <w:tblW w:w="0" w:type="auto"/>
        <w:jc w:val="center"/>
        <w:tblLayout w:type="fixed"/>
        <w:tblLook w:val="04A0" w:firstRow="1" w:lastRow="0" w:firstColumn="1" w:lastColumn="0" w:noHBand="0" w:noVBand="1"/>
      </w:tblPr>
      <w:tblGrid>
        <w:gridCol w:w="1656"/>
        <w:gridCol w:w="8280"/>
      </w:tblGrid>
      <w:tr w:rsidR="00383167" w14:paraId="7B61F387" w14:textId="77777777">
        <w:trPr>
          <w:jc w:val="center"/>
        </w:trPr>
        <w:tc>
          <w:tcPr>
            <w:tcW w:w="1656" w:type="dxa"/>
            <w:tcBorders>
              <w:top w:val="single" w:sz="6" w:space="0" w:color="D9D9D9"/>
              <w:left w:val="single" w:sz="6" w:space="0" w:color="D9D9D9"/>
              <w:bottom w:val="single" w:sz="6" w:space="0" w:color="D9D9D9"/>
              <w:right w:val="single" w:sz="6" w:space="0" w:color="D9D9D9"/>
            </w:tcBorders>
            <w:shd w:val="clear" w:color="auto" w:fill="1F4E79"/>
            <w:tcMar>
              <w:top w:w="95" w:type="dxa"/>
              <w:left w:w="95" w:type="dxa"/>
              <w:bottom w:w="95" w:type="dxa"/>
              <w:right w:w="95" w:type="dxa"/>
            </w:tcMar>
            <w:vAlign w:val="center"/>
          </w:tcPr>
          <w:p w14:paraId="404EA558" w14:textId="77777777" w:rsidR="00383167" w:rsidRDefault="00000000">
            <w:pPr>
              <w:spacing w:after="0"/>
            </w:pPr>
            <w:r>
              <w:rPr>
                <w:rFonts w:eastAsia="Times New Roman"/>
                <w:b/>
                <w:color w:val="FFFFFF"/>
                <w:sz w:val="22"/>
              </w:rPr>
              <w:t>When</w:t>
            </w:r>
          </w:p>
        </w:tc>
        <w:tc>
          <w:tcPr>
            <w:tcW w:w="8280" w:type="dxa"/>
            <w:tcBorders>
              <w:top w:val="single" w:sz="6" w:space="0" w:color="D9D9D9"/>
              <w:left w:val="single" w:sz="6" w:space="0" w:color="D9D9D9"/>
              <w:bottom w:val="single" w:sz="6" w:space="0" w:color="D9D9D9"/>
              <w:right w:val="single" w:sz="6" w:space="0" w:color="D9D9D9"/>
            </w:tcBorders>
            <w:shd w:val="clear" w:color="auto" w:fill="1F4E79"/>
            <w:tcMar>
              <w:top w:w="95" w:type="dxa"/>
              <w:left w:w="95" w:type="dxa"/>
              <w:bottom w:w="95" w:type="dxa"/>
              <w:right w:w="95" w:type="dxa"/>
            </w:tcMar>
            <w:vAlign w:val="center"/>
          </w:tcPr>
          <w:p w14:paraId="242A072C" w14:textId="77777777" w:rsidR="00383167" w:rsidRDefault="00000000">
            <w:pPr>
              <w:spacing w:after="0"/>
            </w:pPr>
            <w:r>
              <w:rPr>
                <w:rFonts w:eastAsia="Times New Roman"/>
                <w:b/>
                <w:color w:val="FFFFFF"/>
                <w:sz w:val="22"/>
              </w:rPr>
              <w:t>What we will learn</w:t>
            </w:r>
          </w:p>
        </w:tc>
      </w:tr>
      <w:tr w:rsidR="00383167" w14:paraId="7993EA64" w14:textId="77777777">
        <w:trPr>
          <w:jc w:val="center"/>
        </w:trPr>
        <w:tc>
          <w:tcPr>
            <w:tcW w:w="1656" w:type="dxa"/>
            <w:tcBorders>
              <w:top w:val="single" w:sz="6" w:space="0" w:color="D9D9D9"/>
              <w:left w:val="single" w:sz="6" w:space="0" w:color="D9D9D9"/>
              <w:bottom w:val="single" w:sz="6" w:space="0" w:color="D9D9D9"/>
              <w:right w:val="single" w:sz="6" w:space="0" w:color="D9D9D9"/>
            </w:tcBorders>
            <w:tcMar>
              <w:top w:w="95" w:type="dxa"/>
              <w:left w:w="95" w:type="dxa"/>
              <w:bottom w:w="95" w:type="dxa"/>
              <w:right w:w="95" w:type="dxa"/>
            </w:tcMar>
            <w:vAlign w:val="center"/>
          </w:tcPr>
          <w:p w14:paraId="77C88C5C" w14:textId="77777777" w:rsidR="00383167" w:rsidRDefault="00000000">
            <w:pPr>
              <w:spacing w:after="0" w:line="240" w:lineRule="auto"/>
            </w:pPr>
            <w:r>
              <w:rPr>
                <w:rFonts w:eastAsia="Times New Roman"/>
                <w:b/>
                <w:sz w:val="22"/>
              </w:rPr>
              <w:t>Week 1</w:t>
            </w:r>
          </w:p>
        </w:tc>
        <w:tc>
          <w:tcPr>
            <w:tcW w:w="8280" w:type="dxa"/>
            <w:tcBorders>
              <w:top w:val="single" w:sz="6" w:space="0" w:color="D9D9D9"/>
              <w:left w:val="single" w:sz="6" w:space="0" w:color="D9D9D9"/>
              <w:bottom w:val="single" w:sz="6" w:space="0" w:color="D9D9D9"/>
              <w:right w:val="single" w:sz="6" w:space="0" w:color="D9D9D9"/>
            </w:tcBorders>
            <w:tcMar>
              <w:top w:w="95" w:type="dxa"/>
              <w:left w:w="95" w:type="dxa"/>
              <w:bottom w:w="95" w:type="dxa"/>
              <w:right w:w="95" w:type="dxa"/>
            </w:tcMar>
            <w:vAlign w:val="center"/>
          </w:tcPr>
          <w:p w14:paraId="7EE92C74" w14:textId="77777777" w:rsidR="00900E61" w:rsidRPr="00900E61" w:rsidRDefault="00000000">
            <w:pPr>
              <w:spacing w:after="0" w:line="240" w:lineRule="auto"/>
              <w:rPr>
                <w:rFonts w:eastAsia="Times New Roman"/>
                <w:b/>
                <w:bCs/>
                <w:sz w:val="22"/>
              </w:rPr>
            </w:pPr>
            <w:r w:rsidRPr="00900E61">
              <w:rPr>
                <w:rFonts w:eastAsia="Times New Roman"/>
                <w:b/>
                <w:bCs/>
                <w:sz w:val="22"/>
              </w:rPr>
              <w:t xml:space="preserve">Sessions 5–6: Memory and Forgetting; Retrieval. </w:t>
            </w:r>
          </w:p>
          <w:p w14:paraId="63BD8B3F" w14:textId="08109322" w:rsidR="00383167" w:rsidRDefault="00000000">
            <w:pPr>
              <w:spacing w:after="0" w:line="240" w:lineRule="auto"/>
            </w:pPr>
            <w:r>
              <w:rPr>
                <w:rFonts w:eastAsia="Times New Roman"/>
                <w:sz w:val="22"/>
              </w:rPr>
              <w:t>Why forgetting is not a moral failure, why rereading can create false familiarity, and why the effort to recall is part of what strengthens memory.</w:t>
            </w:r>
          </w:p>
        </w:tc>
      </w:tr>
      <w:tr w:rsidR="00383167" w14:paraId="45F5D461" w14:textId="77777777">
        <w:trPr>
          <w:jc w:val="center"/>
        </w:trPr>
        <w:tc>
          <w:tcPr>
            <w:tcW w:w="1656" w:type="dxa"/>
            <w:tcBorders>
              <w:top w:val="single" w:sz="6" w:space="0" w:color="D9D9D9"/>
              <w:left w:val="single" w:sz="6" w:space="0" w:color="D9D9D9"/>
              <w:bottom w:val="single" w:sz="6" w:space="0" w:color="D9D9D9"/>
              <w:right w:val="single" w:sz="6" w:space="0" w:color="D9D9D9"/>
            </w:tcBorders>
            <w:shd w:val="clear" w:color="auto" w:fill="F3F7FA"/>
            <w:tcMar>
              <w:top w:w="95" w:type="dxa"/>
              <w:left w:w="95" w:type="dxa"/>
              <w:bottom w:w="95" w:type="dxa"/>
              <w:right w:w="95" w:type="dxa"/>
            </w:tcMar>
            <w:vAlign w:val="center"/>
          </w:tcPr>
          <w:p w14:paraId="3A93FDDB" w14:textId="77777777" w:rsidR="00383167" w:rsidRDefault="00000000">
            <w:pPr>
              <w:spacing w:after="0" w:line="240" w:lineRule="auto"/>
            </w:pPr>
            <w:r>
              <w:rPr>
                <w:rFonts w:eastAsia="Times New Roman"/>
                <w:b/>
                <w:sz w:val="22"/>
              </w:rPr>
              <w:t>Week 2</w:t>
            </w:r>
          </w:p>
        </w:tc>
        <w:tc>
          <w:tcPr>
            <w:tcW w:w="8280" w:type="dxa"/>
            <w:tcBorders>
              <w:top w:val="single" w:sz="6" w:space="0" w:color="D9D9D9"/>
              <w:left w:val="single" w:sz="6" w:space="0" w:color="D9D9D9"/>
              <w:bottom w:val="single" w:sz="6" w:space="0" w:color="D9D9D9"/>
              <w:right w:val="single" w:sz="6" w:space="0" w:color="D9D9D9"/>
            </w:tcBorders>
            <w:shd w:val="clear" w:color="auto" w:fill="F3F7FA"/>
            <w:tcMar>
              <w:top w:w="95" w:type="dxa"/>
              <w:left w:w="95" w:type="dxa"/>
              <w:bottom w:w="95" w:type="dxa"/>
              <w:right w:w="95" w:type="dxa"/>
            </w:tcMar>
            <w:vAlign w:val="center"/>
          </w:tcPr>
          <w:p w14:paraId="183ED0B3" w14:textId="77777777" w:rsidR="00900E61" w:rsidRPr="00900E61" w:rsidRDefault="00000000">
            <w:pPr>
              <w:spacing w:after="0" w:line="240" w:lineRule="auto"/>
              <w:rPr>
                <w:rFonts w:eastAsia="Times New Roman"/>
                <w:b/>
                <w:bCs/>
                <w:sz w:val="22"/>
              </w:rPr>
            </w:pPr>
            <w:r w:rsidRPr="00900E61">
              <w:rPr>
                <w:rFonts w:eastAsia="Times New Roman"/>
                <w:b/>
                <w:bCs/>
                <w:sz w:val="22"/>
              </w:rPr>
              <w:t xml:space="preserve">Sessions 7–8: Spacing; Desirable Difficulties. </w:t>
            </w:r>
          </w:p>
          <w:p w14:paraId="5A7E9A64" w14:textId="525B6BAE" w:rsidR="00383167" w:rsidRDefault="00000000">
            <w:pPr>
              <w:spacing w:after="0" w:line="240" w:lineRule="auto"/>
            </w:pPr>
            <w:r>
              <w:rPr>
                <w:rFonts w:eastAsia="Times New Roman"/>
                <w:sz w:val="22"/>
              </w:rPr>
              <w:t>How planned returns beat one long encounter, and why a task that feels slightly harder can sometimes create more durable learning than one that feels fluent and easy.</w:t>
            </w:r>
          </w:p>
        </w:tc>
      </w:tr>
      <w:tr w:rsidR="00383167" w14:paraId="5163CD7E" w14:textId="77777777">
        <w:trPr>
          <w:jc w:val="center"/>
        </w:trPr>
        <w:tc>
          <w:tcPr>
            <w:tcW w:w="1656" w:type="dxa"/>
            <w:tcBorders>
              <w:top w:val="single" w:sz="6" w:space="0" w:color="D9D9D9"/>
              <w:left w:val="single" w:sz="6" w:space="0" w:color="D9D9D9"/>
              <w:bottom w:val="single" w:sz="6" w:space="0" w:color="D9D9D9"/>
              <w:right w:val="single" w:sz="6" w:space="0" w:color="D9D9D9"/>
            </w:tcBorders>
            <w:tcMar>
              <w:top w:w="95" w:type="dxa"/>
              <w:left w:w="95" w:type="dxa"/>
              <w:bottom w:w="95" w:type="dxa"/>
              <w:right w:w="95" w:type="dxa"/>
            </w:tcMar>
            <w:vAlign w:val="center"/>
          </w:tcPr>
          <w:p w14:paraId="02E17638" w14:textId="77777777" w:rsidR="00383167" w:rsidRDefault="00000000">
            <w:pPr>
              <w:spacing w:after="0" w:line="240" w:lineRule="auto"/>
            </w:pPr>
            <w:r>
              <w:rPr>
                <w:rFonts w:eastAsia="Times New Roman"/>
                <w:b/>
                <w:sz w:val="22"/>
              </w:rPr>
              <w:t>Week 3</w:t>
            </w:r>
          </w:p>
        </w:tc>
        <w:tc>
          <w:tcPr>
            <w:tcW w:w="8280" w:type="dxa"/>
            <w:tcBorders>
              <w:top w:val="single" w:sz="6" w:space="0" w:color="D9D9D9"/>
              <w:left w:val="single" w:sz="6" w:space="0" w:color="D9D9D9"/>
              <w:bottom w:val="single" w:sz="6" w:space="0" w:color="D9D9D9"/>
              <w:right w:val="single" w:sz="6" w:space="0" w:color="D9D9D9"/>
            </w:tcBorders>
            <w:tcMar>
              <w:top w:w="95" w:type="dxa"/>
              <w:left w:w="95" w:type="dxa"/>
              <w:bottom w:w="95" w:type="dxa"/>
              <w:right w:w="95" w:type="dxa"/>
            </w:tcMar>
            <w:vAlign w:val="center"/>
          </w:tcPr>
          <w:p w14:paraId="6F89014D" w14:textId="77777777" w:rsidR="00900E61" w:rsidRPr="00900E61" w:rsidRDefault="00000000">
            <w:pPr>
              <w:spacing w:after="0" w:line="240" w:lineRule="auto"/>
              <w:rPr>
                <w:rFonts w:eastAsia="Times New Roman"/>
                <w:b/>
                <w:bCs/>
                <w:sz w:val="22"/>
              </w:rPr>
            </w:pPr>
            <w:r w:rsidRPr="00900E61">
              <w:rPr>
                <w:rFonts w:eastAsia="Times New Roman"/>
                <w:b/>
                <w:bCs/>
                <w:sz w:val="22"/>
              </w:rPr>
              <w:t xml:space="preserve">Sessions 9–10: Metacognition; Transfer. </w:t>
            </w:r>
          </w:p>
          <w:p w14:paraId="1E80E1D1" w14:textId="3CD91860" w:rsidR="00383167" w:rsidRDefault="00000000">
            <w:pPr>
              <w:spacing w:after="0" w:line="240" w:lineRule="auto"/>
            </w:pPr>
            <w:r>
              <w:rPr>
                <w:rFonts w:eastAsia="Times New Roman"/>
                <w:sz w:val="22"/>
              </w:rPr>
              <w:t>Why learners often confuse familiarity with mastery, and how to test whether language can travel from a gap-fill to a conversation, an email, or a new topic.</w:t>
            </w:r>
          </w:p>
        </w:tc>
      </w:tr>
      <w:tr w:rsidR="00383167" w14:paraId="1274DA0F" w14:textId="77777777">
        <w:trPr>
          <w:jc w:val="center"/>
        </w:trPr>
        <w:tc>
          <w:tcPr>
            <w:tcW w:w="1656" w:type="dxa"/>
            <w:tcBorders>
              <w:top w:val="single" w:sz="6" w:space="0" w:color="D9D9D9"/>
              <w:left w:val="single" w:sz="6" w:space="0" w:color="D9D9D9"/>
              <w:bottom w:val="single" w:sz="6" w:space="0" w:color="D9D9D9"/>
              <w:right w:val="single" w:sz="6" w:space="0" w:color="D9D9D9"/>
            </w:tcBorders>
            <w:shd w:val="clear" w:color="auto" w:fill="F3F7FA"/>
            <w:tcMar>
              <w:top w:w="95" w:type="dxa"/>
              <w:left w:w="95" w:type="dxa"/>
              <w:bottom w:w="95" w:type="dxa"/>
              <w:right w:w="95" w:type="dxa"/>
            </w:tcMar>
            <w:vAlign w:val="center"/>
          </w:tcPr>
          <w:p w14:paraId="7CCF3EF3" w14:textId="77777777" w:rsidR="00383167" w:rsidRDefault="00000000">
            <w:pPr>
              <w:spacing w:after="0" w:line="240" w:lineRule="auto"/>
            </w:pPr>
            <w:r>
              <w:rPr>
                <w:rFonts w:eastAsia="Times New Roman"/>
                <w:b/>
                <w:sz w:val="22"/>
              </w:rPr>
              <w:t>Week 4</w:t>
            </w:r>
          </w:p>
        </w:tc>
        <w:tc>
          <w:tcPr>
            <w:tcW w:w="8280" w:type="dxa"/>
            <w:tcBorders>
              <w:top w:val="single" w:sz="6" w:space="0" w:color="D9D9D9"/>
              <w:left w:val="single" w:sz="6" w:space="0" w:color="D9D9D9"/>
              <w:bottom w:val="single" w:sz="6" w:space="0" w:color="D9D9D9"/>
              <w:right w:val="single" w:sz="6" w:space="0" w:color="D9D9D9"/>
            </w:tcBorders>
            <w:shd w:val="clear" w:color="auto" w:fill="F3F7FA"/>
            <w:tcMar>
              <w:top w:w="95" w:type="dxa"/>
              <w:left w:w="95" w:type="dxa"/>
              <w:bottom w:w="95" w:type="dxa"/>
              <w:right w:w="95" w:type="dxa"/>
            </w:tcMar>
            <w:vAlign w:val="center"/>
          </w:tcPr>
          <w:p w14:paraId="0AC64958" w14:textId="77777777" w:rsidR="00900E61" w:rsidRPr="00900E61" w:rsidRDefault="00000000">
            <w:pPr>
              <w:spacing w:after="0" w:line="240" w:lineRule="auto"/>
              <w:rPr>
                <w:rFonts w:eastAsia="Times New Roman"/>
                <w:b/>
                <w:bCs/>
                <w:sz w:val="22"/>
              </w:rPr>
            </w:pPr>
            <w:r w:rsidRPr="00900E61">
              <w:rPr>
                <w:rFonts w:eastAsia="Times New Roman"/>
                <w:b/>
                <w:bCs/>
                <w:sz w:val="22"/>
              </w:rPr>
              <w:t xml:space="preserve">Sessions 11–12: Knowing a Language; Implicit and Explicit Learning. </w:t>
            </w:r>
          </w:p>
          <w:p w14:paraId="35AEEADC" w14:textId="7603CC6C" w:rsidR="00383167" w:rsidRDefault="00000000">
            <w:pPr>
              <w:spacing w:after="0" w:line="240" w:lineRule="auto"/>
            </w:pPr>
            <w:r>
              <w:rPr>
                <w:rFonts w:eastAsia="Times New Roman"/>
                <w:sz w:val="22"/>
              </w:rPr>
              <w:t>What it means to know something beyond being able to explain it, and how conscious knowledge and developing spontaneous use can support each other without being mistaken for the same thing.</w:t>
            </w:r>
          </w:p>
        </w:tc>
      </w:tr>
    </w:tbl>
    <w:p w14:paraId="27DE26A6" w14:textId="77777777" w:rsidR="00383167" w:rsidRDefault="00000000">
      <w:pPr>
        <w:spacing w:before="140" w:after="60" w:line="240" w:lineRule="auto"/>
      </w:pPr>
      <w:r>
        <w:rPr>
          <w:rFonts w:eastAsia="Times New Roman"/>
          <w:b/>
          <w:sz w:val="28"/>
        </w:rPr>
        <w:t>Why this is more than a collection of techniques</w:t>
      </w:r>
    </w:p>
    <w:p w14:paraId="107D86CC" w14:textId="77777777" w:rsidR="00383167" w:rsidRDefault="00000000">
      <w:pPr>
        <w:spacing w:after="100" w:line="240" w:lineRule="auto"/>
      </w:pPr>
      <w:r>
        <w:rPr>
          <w:rFonts w:eastAsia="Times New Roman"/>
        </w:rPr>
        <w:t xml:space="preserve">Most teachers already have activities, materials, and methods. The question is whether we can diagnose </w:t>
      </w:r>
      <w:r>
        <w:rPr>
          <w:rFonts w:eastAsia="Times New Roman"/>
          <w:b/>
        </w:rPr>
        <w:t xml:space="preserve">why </w:t>
      </w:r>
      <w:r>
        <w:rPr>
          <w:rFonts w:eastAsia="Times New Roman"/>
        </w:rPr>
        <w:t>one activity produces only short-term success while another leaves learners with language they can retrieve, adapt, and use. The Science of Language Learning is not a list of tricks. It is a way of making better decisions about attention, load, practice, feedback, time, and evidence.</w:t>
      </w:r>
    </w:p>
    <w:p w14:paraId="3AA90771" w14:textId="1A16C2BF" w:rsidR="00383167" w:rsidRDefault="00000000">
      <w:pPr>
        <w:spacing w:after="0" w:line="240" w:lineRule="auto"/>
        <w:rPr>
          <w:rFonts w:eastAsia="Times New Roman"/>
        </w:rPr>
      </w:pPr>
      <w:r>
        <w:rPr>
          <w:rFonts w:eastAsia="Times New Roman"/>
          <w:b/>
        </w:rPr>
        <w:t xml:space="preserve">The first four recorded sessions are already available on the website. </w:t>
      </w:r>
      <w:r>
        <w:rPr>
          <w:rFonts w:eastAsia="Times New Roman"/>
        </w:rPr>
        <w:t xml:space="preserve">This summary is meant to give you something real to think with, not to replace the course. If the questions here make you look differently at your own lessons, join us for the next four Thursdays </w:t>
      </w:r>
      <w:r w:rsidR="00900E61">
        <w:rPr>
          <w:rFonts w:eastAsia="Times New Roman"/>
        </w:rPr>
        <w:t>—</w:t>
      </w:r>
      <w:r>
        <w:rPr>
          <w:rFonts w:eastAsia="Times New Roman"/>
        </w:rPr>
        <w:t xml:space="preserve"> or contact us for access to the recorded foundation sessions.</w:t>
      </w:r>
    </w:p>
    <w:p w14:paraId="244C76C0" w14:textId="77777777" w:rsidR="00900E61" w:rsidRDefault="00900E61">
      <w:pPr>
        <w:spacing w:after="0" w:line="240" w:lineRule="auto"/>
        <w:rPr>
          <w:rFonts w:eastAsia="Times New Roman"/>
        </w:rPr>
      </w:pPr>
    </w:p>
    <w:p w14:paraId="206B04EA" w14:textId="40A1DEA3" w:rsidR="00900E61" w:rsidRPr="00900E61" w:rsidRDefault="00900E61">
      <w:pPr>
        <w:spacing w:after="0" w:line="240" w:lineRule="auto"/>
        <w:rPr>
          <w:rFonts w:eastAsia="Times New Roman"/>
          <w:b/>
          <w:bCs/>
        </w:rPr>
      </w:pPr>
      <w:r w:rsidRPr="00900E61">
        <w:rPr>
          <w:rFonts w:eastAsia="Times New Roman"/>
          <w:b/>
          <w:bCs/>
        </w:rPr>
        <w:t>My Telegram Channel:</w:t>
      </w:r>
    </w:p>
    <w:p w14:paraId="0331DE90" w14:textId="77777777" w:rsidR="00900E61" w:rsidRPr="00900E61" w:rsidRDefault="00900E61" w:rsidP="00900E61">
      <w:pPr>
        <w:spacing w:after="0" w:line="240" w:lineRule="auto"/>
      </w:pPr>
      <w:hyperlink r:id="rId6" w:history="1">
        <w:r w:rsidRPr="00900E61">
          <w:rPr>
            <w:rStyle w:val="Hyperlink"/>
          </w:rPr>
          <w:t>t.me/</w:t>
        </w:r>
        <w:proofErr w:type="spellStart"/>
        <w:r w:rsidRPr="00900E61">
          <w:rPr>
            <w:rStyle w:val="Hyperlink"/>
          </w:rPr>
          <w:t>TeacherTrainingHub</w:t>
        </w:r>
        <w:proofErr w:type="spellEnd"/>
      </w:hyperlink>
    </w:p>
    <w:p w14:paraId="622C833D" w14:textId="77777777" w:rsidR="00900E61" w:rsidRDefault="00900E61">
      <w:pPr>
        <w:spacing w:after="0" w:line="240" w:lineRule="auto"/>
      </w:pPr>
    </w:p>
    <w:p w14:paraId="1B6C2294" w14:textId="5D90C7F4" w:rsidR="00900E61" w:rsidRPr="00900E61" w:rsidRDefault="00900E61">
      <w:pPr>
        <w:spacing w:after="0" w:line="240" w:lineRule="auto"/>
        <w:rPr>
          <w:b/>
          <w:bCs/>
        </w:rPr>
      </w:pPr>
      <w:r w:rsidRPr="00900E61">
        <w:rPr>
          <w:b/>
          <w:bCs/>
        </w:rPr>
        <w:t>My Admin Telegram:</w:t>
      </w:r>
    </w:p>
    <w:p w14:paraId="322B25A4" w14:textId="77777777" w:rsidR="00900E61" w:rsidRPr="00900E61" w:rsidRDefault="00900E61" w:rsidP="00900E61">
      <w:pPr>
        <w:spacing w:after="0" w:line="240" w:lineRule="auto"/>
      </w:pPr>
      <w:proofErr w:type="gramStart"/>
      <w:r w:rsidRPr="00900E61">
        <w:t>@MMT</w:t>
      </w:r>
      <w:proofErr w:type="gramEnd"/>
      <w:r w:rsidRPr="00900E61">
        <w:t>_IELTSHousesupport</w:t>
      </w:r>
    </w:p>
    <w:p w14:paraId="4E66DE2B" w14:textId="0A636F10" w:rsidR="00900E61" w:rsidRDefault="00900E61">
      <w:pPr>
        <w:spacing w:after="0" w:line="240" w:lineRule="auto"/>
      </w:pPr>
    </w:p>
    <w:p w14:paraId="0E74AE63" w14:textId="49DB33C3" w:rsidR="00900E61" w:rsidRPr="00900E61" w:rsidRDefault="00900E61">
      <w:pPr>
        <w:spacing w:after="0" w:line="240" w:lineRule="auto"/>
        <w:rPr>
          <w:b/>
          <w:bCs/>
        </w:rPr>
      </w:pPr>
      <w:r w:rsidRPr="00900E61">
        <w:rPr>
          <w:b/>
          <w:bCs/>
        </w:rPr>
        <w:t xml:space="preserve">Link to enroll in this course: </w:t>
      </w:r>
    </w:p>
    <w:p w14:paraId="19899B1B" w14:textId="01C2BA09" w:rsidR="00900E61" w:rsidRDefault="00900E61">
      <w:pPr>
        <w:spacing w:after="0" w:line="240" w:lineRule="auto"/>
      </w:pPr>
      <w:hyperlink r:id="rId7" w:history="1">
        <w:r w:rsidRPr="005723B5">
          <w:rPr>
            <w:rStyle w:val="Hyperlink"/>
          </w:rPr>
          <w:t>https://eltmmt.ir/Product/Details/1040</w:t>
        </w:r>
      </w:hyperlink>
    </w:p>
    <w:p w14:paraId="2E60CD7E" w14:textId="77777777" w:rsidR="00900E61" w:rsidRDefault="00900E61">
      <w:pPr>
        <w:spacing w:after="0" w:line="240" w:lineRule="auto"/>
      </w:pPr>
    </w:p>
    <w:p w14:paraId="70925370" w14:textId="77777777" w:rsidR="00900E61" w:rsidRDefault="00900E61">
      <w:pPr>
        <w:spacing w:after="0" w:line="240" w:lineRule="auto"/>
      </w:pPr>
    </w:p>
    <w:sectPr w:rsidR="00900E61" w:rsidSect="00900E6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21810391">
    <w:abstractNumId w:val="8"/>
  </w:num>
  <w:num w:numId="2" w16cid:durableId="918169951">
    <w:abstractNumId w:val="6"/>
  </w:num>
  <w:num w:numId="3" w16cid:durableId="1025525516">
    <w:abstractNumId w:val="5"/>
  </w:num>
  <w:num w:numId="4" w16cid:durableId="1694185885">
    <w:abstractNumId w:val="4"/>
  </w:num>
  <w:num w:numId="5" w16cid:durableId="1136532274">
    <w:abstractNumId w:val="7"/>
  </w:num>
  <w:num w:numId="6" w16cid:durableId="429201779">
    <w:abstractNumId w:val="3"/>
  </w:num>
  <w:num w:numId="7" w16cid:durableId="1914579572">
    <w:abstractNumId w:val="2"/>
  </w:num>
  <w:num w:numId="8" w16cid:durableId="1317954508">
    <w:abstractNumId w:val="1"/>
  </w:num>
  <w:num w:numId="9" w16cid:durableId="16582179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83167"/>
    <w:rsid w:val="0068182D"/>
    <w:rsid w:val="00900E61"/>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E47B7E0"/>
  <w14:defaultImageDpi w14:val="300"/>
  <w15:docId w15:val="{8AE7E06C-FCE3-46D0-9587-5848ACF8F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900E61"/>
    <w:rPr>
      <w:color w:val="0000FF" w:themeColor="hyperlink"/>
      <w:u w:val="single"/>
    </w:rPr>
  </w:style>
  <w:style w:type="character" w:styleId="UnresolvedMention">
    <w:name w:val="Unresolved Mention"/>
    <w:basedOn w:val="DefaultParagraphFont"/>
    <w:uiPriority w:val="99"/>
    <w:semiHidden/>
    <w:unhideWhenUsed/>
    <w:rsid w:val="00900E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eltmmt.ir/Product/Details/104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internal:username_link/TeacherTrainingHub@562953451380446"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676</Words>
  <Characters>3855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 Mohammaditabar</cp:lastModifiedBy>
  <cp:revision>2</cp:revision>
  <dcterms:created xsi:type="dcterms:W3CDTF">2013-12-23T23:15:00Z</dcterms:created>
  <dcterms:modified xsi:type="dcterms:W3CDTF">2026-11-06T16:00:00Z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cf83ba8c44a75f82f71899c4dcc963966e13e481de2dd4aa12f8de1e7a8bc0c1</vt:lpwstr>
  </property>
</Properties>
</file>